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A87" w:rsidRPr="0009131F" w:rsidRDefault="00533A87" w:rsidP="00533A87">
      <w:pPr>
        <w:pStyle w:val="Heading3"/>
        <w:rPr>
          <w:rFonts w:ascii="Arial Narrow" w:eastAsia="Calibri" w:hAnsi="Arial Narrow"/>
          <w:bCs w:val="0"/>
          <w:sz w:val="28"/>
          <w:szCs w:val="28"/>
          <w:u w:val="single"/>
        </w:rPr>
      </w:pPr>
      <w:bookmarkStart w:id="0" w:name="_Toc270775103"/>
      <w:bookmarkStart w:id="1" w:name="_Toc325451193"/>
      <w:bookmarkStart w:id="2" w:name="_Toc325533600"/>
      <w:bookmarkStart w:id="3" w:name="_Toc325534087"/>
      <w:bookmarkStart w:id="4" w:name="_Toc329354847"/>
      <w:bookmarkStart w:id="5" w:name="_Toc329607168"/>
      <w:bookmarkStart w:id="6" w:name="_Toc329773806"/>
      <w:bookmarkStart w:id="7" w:name="_Toc329862075"/>
      <w:r>
        <w:rPr>
          <w:rFonts w:ascii="Arial Narrow" w:eastAsia="Calibri" w:hAnsi="Arial Narrow"/>
          <w:bCs w:val="0"/>
          <w:sz w:val="28"/>
          <w:szCs w:val="28"/>
          <w:u w:val="single"/>
        </w:rPr>
        <w:t>Materials Engineering</w:t>
      </w:r>
    </w:p>
    <w:p w:rsidR="00533A87" w:rsidRPr="0009131F" w:rsidRDefault="00533A87" w:rsidP="00533A87">
      <w:pPr>
        <w:rPr>
          <w:rFonts w:eastAsia="Calibri"/>
        </w:rPr>
      </w:pPr>
    </w:p>
    <w:p w:rsidR="00533A87" w:rsidRPr="0009131F" w:rsidRDefault="00533A87" w:rsidP="00533A87">
      <w:pPr>
        <w:pStyle w:val="Heading3"/>
        <w:rPr>
          <w:rFonts w:ascii="Arial Narrow" w:eastAsia="Calibri" w:hAnsi="Arial Narrow"/>
          <w:b w:val="0"/>
          <w:bCs w:val="0"/>
          <w:sz w:val="24"/>
          <w:szCs w:val="24"/>
        </w:rPr>
      </w:pPr>
      <w:r w:rsidRPr="0009131F">
        <w:rPr>
          <w:rFonts w:ascii="Arial Narrow" w:eastAsia="Calibri" w:hAnsi="Arial Narrow"/>
          <w:b w:val="0"/>
          <w:bCs w:val="0"/>
          <w:sz w:val="24"/>
          <w:szCs w:val="24"/>
        </w:rPr>
        <w:t>MS and PhD Core Courses in Materials Engineering</w:t>
      </w:r>
      <w:bookmarkEnd w:id="0"/>
      <w:bookmarkEnd w:id="1"/>
      <w:bookmarkEnd w:id="2"/>
      <w:bookmarkEnd w:id="3"/>
      <w:bookmarkEnd w:id="4"/>
      <w:bookmarkEnd w:id="5"/>
      <w:bookmarkEnd w:id="6"/>
      <w:bookmarkEnd w:id="7"/>
      <w:r w:rsidRPr="0009131F">
        <w:rPr>
          <w:rFonts w:ascii="Arial Narrow" w:eastAsia="Calibri" w:hAnsi="Arial Narrow"/>
          <w:b w:val="0"/>
          <w:bCs w:val="0"/>
          <w:sz w:val="24"/>
          <w:szCs w:val="24"/>
        </w:rPr>
        <w:t xml:space="preserve"> </w:t>
      </w:r>
    </w:p>
    <w:p w:rsidR="00533A87" w:rsidRPr="0009131F" w:rsidRDefault="00533A87" w:rsidP="00533A87">
      <w:pPr>
        <w:pStyle w:val="CM28"/>
        <w:ind w:left="360"/>
        <w:rPr>
          <w:rFonts w:ascii="Arial Narrow" w:eastAsia="Calibri" w:hAnsi="Arial Narrow" w:cs="Arial"/>
        </w:rPr>
      </w:pPr>
      <w:r w:rsidRPr="0009131F">
        <w:rPr>
          <w:rFonts w:ascii="Arial Narrow" w:eastAsia="Calibri" w:hAnsi="Arial Narrow" w:cs="Arial"/>
        </w:rPr>
        <w:t xml:space="preserve">A set of four core courses is required for all MS and PhD students in Materials Engineering.  The objective of having core courses requirement is to ensure that all graduate students develop common basic technical background.  Students may include, at most, one 400 level course in their plan of study. </w:t>
      </w:r>
    </w:p>
    <w:p w:rsidR="00533A87" w:rsidRPr="0009131F" w:rsidRDefault="00533A87" w:rsidP="00533A87">
      <w:pPr>
        <w:pStyle w:val="NoSpacing"/>
        <w:rPr>
          <w:rFonts w:ascii="Arial Narrow" w:hAnsi="Arial Narrow" w:cs="Arial"/>
          <w:color w:val="000000"/>
          <w:sz w:val="24"/>
          <w:szCs w:val="24"/>
        </w:rPr>
      </w:pPr>
      <w:r w:rsidRPr="0009131F">
        <w:rPr>
          <w:rFonts w:ascii="Arial Narrow" w:hAnsi="Arial Narrow" w:cs="Arial"/>
          <w:sz w:val="24"/>
          <w:szCs w:val="24"/>
        </w:rPr>
        <w:t>The core program will consist of</w:t>
      </w:r>
      <w:r w:rsidRPr="0009131F">
        <w:rPr>
          <w:rFonts w:ascii="Arial Narrow" w:hAnsi="Arial Narrow" w:cs="Arial"/>
          <w:color w:val="000000"/>
          <w:sz w:val="24"/>
          <w:szCs w:val="24"/>
        </w:rPr>
        <w:t xml:space="preserve">: </w:t>
      </w:r>
      <w:r w:rsidRPr="0009131F">
        <w:rPr>
          <w:rFonts w:ascii="Arial Narrow" w:hAnsi="Arial Narrow" w:cs="Arial"/>
          <w:color w:val="000000"/>
          <w:sz w:val="24"/>
          <w:szCs w:val="24"/>
        </w:rPr>
        <w:br/>
      </w:r>
    </w:p>
    <w:p w:rsidR="00533A87" w:rsidRPr="0009131F" w:rsidRDefault="00533A87" w:rsidP="00533A87">
      <w:pPr>
        <w:pStyle w:val="NoSpacing"/>
        <w:numPr>
          <w:ilvl w:val="0"/>
          <w:numId w:val="1"/>
        </w:numPr>
        <w:rPr>
          <w:rFonts w:ascii="Arial Narrow" w:hAnsi="Arial Narrow" w:cs="Arial"/>
          <w:sz w:val="24"/>
          <w:szCs w:val="24"/>
        </w:rPr>
      </w:pPr>
      <w:r w:rsidRPr="0009131F">
        <w:rPr>
          <w:rFonts w:ascii="Arial Narrow" w:hAnsi="Arial Narrow" w:cs="Arial"/>
          <w:sz w:val="24"/>
          <w:szCs w:val="24"/>
        </w:rPr>
        <w:t>CE53000</w:t>
      </w:r>
      <w:r w:rsidRPr="0009131F">
        <w:rPr>
          <w:rFonts w:ascii="Arial Narrow" w:hAnsi="Arial Narrow" w:cs="Arial"/>
          <w:sz w:val="24"/>
          <w:szCs w:val="24"/>
        </w:rPr>
        <w:tab/>
      </w:r>
      <w:r w:rsidRPr="0009131F">
        <w:rPr>
          <w:rFonts w:ascii="Arial Narrow" w:hAnsi="Arial Narrow" w:cs="Arial"/>
          <w:sz w:val="24"/>
          <w:szCs w:val="24"/>
        </w:rPr>
        <w:tab/>
        <w:t>Properties of Concrete</w:t>
      </w:r>
    </w:p>
    <w:p w:rsidR="00533A87" w:rsidRPr="0009131F" w:rsidRDefault="00533A87" w:rsidP="00533A87">
      <w:pPr>
        <w:pStyle w:val="NoSpacing"/>
        <w:numPr>
          <w:ilvl w:val="0"/>
          <w:numId w:val="1"/>
        </w:numPr>
        <w:rPr>
          <w:rFonts w:ascii="Arial Narrow" w:hAnsi="Arial Narrow" w:cs="Arial"/>
          <w:sz w:val="24"/>
          <w:szCs w:val="24"/>
        </w:rPr>
      </w:pPr>
      <w:r w:rsidRPr="0009131F">
        <w:rPr>
          <w:rFonts w:ascii="Arial Narrow" w:hAnsi="Arial Narrow" w:cs="Arial"/>
          <w:sz w:val="24"/>
          <w:szCs w:val="24"/>
        </w:rPr>
        <w:t>CE53500</w:t>
      </w:r>
      <w:r w:rsidRPr="0009131F">
        <w:rPr>
          <w:rFonts w:ascii="Arial Narrow" w:hAnsi="Arial Narrow" w:cs="Arial"/>
          <w:sz w:val="24"/>
          <w:szCs w:val="24"/>
        </w:rPr>
        <w:tab/>
        <w:t xml:space="preserve"> </w:t>
      </w:r>
      <w:r w:rsidRPr="0009131F">
        <w:rPr>
          <w:rFonts w:ascii="Arial Narrow" w:hAnsi="Arial Narrow" w:cs="Arial"/>
          <w:sz w:val="24"/>
          <w:szCs w:val="24"/>
        </w:rPr>
        <w:tab/>
        <w:t>Bituminous Materials</w:t>
      </w:r>
    </w:p>
    <w:p w:rsidR="00533A87" w:rsidRPr="0009131F" w:rsidRDefault="00533A87" w:rsidP="00533A87">
      <w:pPr>
        <w:pStyle w:val="NoSpacing"/>
        <w:numPr>
          <w:ilvl w:val="0"/>
          <w:numId w:val="1"/>
        </w:numPr>
        <w:rPr>
          <w:rFonts w:ascii="Arial Narrow" w:hAnsi="Arial Narrow" w:cs="Arial"/>
          <w:sz w:val="24"/>
          <w:szCs w:val="24"/>
        </w:rPr>
      </w:pPr>
      <w:r w:rsidRPr="0009131F">
        <w:rPr>
          <w:rFonts w:ascii="Arial Narrow" w:hAnsi="Arial Narrow" w:cs="Arial"/>
          <w:sz w:val="24"/>
          <w:szCs w:val="24"/>
        </w:rPr>
        <w:t>CE53800</w:t>
      </w:r>
      <w:r w:rsidRPr="0009131F">
        <w:rPr>
          <w:rFonts w:ascii="Arial Narrow" w:hAnsi="Arial Narrow" w:cs="Arial"/>
          <w:sz w:val="24"/>
          <w:szCs w:val="24"/>
        </w:rPr>
        <w:tab/>
        <w:t xml:space="preserve"> </w:t>
      </w:r>
      <w:r w:rsidRPr="0009131F">
        <w:rPr>
          <w:rFonts w:ascii="Arial Narrow" w:hAnsi="Arial Narrow" w:cs="Arial"/>
          <w:sz w:val="24"/>
          <w:szCs w:val="24"/>
        </w:rPr>
        <w:tab/>
        <w:t>Experimental methods in Construction Materials Research</w:t>
      </w:r>
    </w:p>
    <w:p w:rsidR="00533A87" w:rsidRPr="0009131F" w:rsidRDefault="00533A87" w:rsidP="00533A87">
      <w:pPr>
        <w:pStyle w:val="NoSpacing"/>
        <w:numPr>
          <w:ilvl w:val="0"/>
          <w:numId w:val="1"/>
        </w:numPr>
        <w:rPr>
          <w:rFonts w:ascii="Arial Narrow" w:hAnsi="Arial Narrow" w:cs="Arial"/>
          <w:sz w:val="24"/>
          <w:szCs w:val="24"/>
        </w:rPr>
      </w:pPr>
      <w:r w:rsidRPr="0009131F">
        <w:rPr>
          <w:rFonts w:ascii="Arial Narrow" w:hAnsi="Arial Narrow" w:cs="Arial"/>
          <w:sz w:val="24"/>
          <w:szCs w:val="24"/>
        </w:rPr>
        <w:t>CE59700</w:t>
      </w:r>
      <w:r w:rsidRPr="0009131F">
        <w:rPr>
          <w:rFonts w:ascii="Arial Narrow" w:hAnsi="Arial Narrow" w:cs="Arial"/>
          <w:sz w:val="24"/>
          <w:szCs w:val="24"/>
        </w:rPr>
        <w:tab/>
      </w:r>
      <w:r w:rsidRPr="0009131F">
        <w:rPr>
          <w:rFonts w:ascii="Arial Narrow" w:hAnsi="Arial Narrow" w:cs="Arial"/>
          <w:sz w:val="24"/>
          <w:szCs w:val="24"/>
        </w:rPr>
        <w:tab/>
      </w:r>
      <w:r w:rsidRPr="0009131F">
        <w:rPr>
          <w:rFonts w:ascii="Arial Narrow" w:hAnsi="Arial Narrow" w:cs="Arial"/>
          <w:bCs/>
          <w:sz w:val="24"/>
          <w:szCs w:val="24"/>
        </w:rPr>
        <w:t>Structure Property Relationships and Behavior of CE Composite Materials</w:t>
      </w:r>
    </w:p>
    <w:p w:rsidR="00533A87" w:rsidRPr="0009131F" w:rsidRDefault="00533A87" w:rsidP="00533A87">
      <w:pPr>
        <w:pStyle w:val="NoSpacing"/>
        <w:numPr>
          <w:ilvl w:val="0"/>
          <w:numId w:val="1"/>
        </w:numPr>
        <w:rPr>
          <w:rFonts w:ascii="Arial Narrow" w:hAnsi="Arial Narrow"/>
          <w:sz w:val="24"/>
          <w:szCs w:val="24"/>
        </w:rPr>
      </w:pPr>
      <w:r w:rsidRPr="0009131F">
        <w:rPr>
          <w:rFonts w:ascii="Arial Narrow" w:hAnsi="Arial Narrow" w:cs="Arial"/>
          <w:sz w:val="24"/>
          <w:szCs w:val="24"/>
        </w:rPr>
        <w:t>One course in statistical data analysis (i.e.: STAT 511, STAT 512, STAT 514)</w:t>
      </w:r>
      <w:r w:rsidRPr="0009131F">
        <w:rPr>
          <w:rFonts w:ascii="Arial Narrow" w:hAnsi="Arial Narrow" w:cs="Arial"/>
          <w:color w:val="000000"/>
          <w:sz w:val="24"/>
          <w:szCs w:val="24"/>
        </w:rPr>
        <w:br/>
      </w:r>
      <w:r w:rsidRPr="0009131F">
        <w:rPr>
          <w:rFonts w:ascii="Arial Narrow" w:hAnsi="Arial Narrow"/>
          <w:sz w:val="24"/>
          <w:szCs w:val="24"/>
        </w:rPr>
        <w:t>Note:  the requirement for the core statistical course can be waived if the student took similar course somewhere else</w:t>
      </w:r>
    </w:p>
    <w:p w:rsidR="00533A87" w:rsidRPr="0009131F" w:rsidRDefault="00533A87" w:rsidP="00533A87">
      <w:pPr>
        <w:pStyle w:val="NoSpacing"/>
        <w:rPr>
          <w:rFonts w:ascii="Arial Narrow" w:hAnsi="Arial Narrow"/>
          <w:sz w:val="24"/>
          <w:szCs w:val="24"/>
        </w:rPr>
      </w:pP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In addition to these core courses, the students will typically select several elective courses either form the material area or from other areas as deemed necessary based on their plan of study.</w:t>
      </w:r>
    </w:p>
    <w:p w:rsidR="00533A87" w:rsidRPr="0009131F" w:rsidRDefault="00533A87" w:rsidP="00533A87">
      <w:pPr>
        <w:pStyle w:val="NoSpacing"/>
        <w:rPr>
          <w:rFonts w:ascii="Arial Narrow" w:hAnsi="Arial Narrow" w:cs="Arial"/>
          <w:sz w:val="24"/>
          <w:szCs w:val="24"/>
        </w:rPr>
      </w:pP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The most recent Materials area list of course offerings included:</w:t>
      </w:r>
    </w:p>
    <w:p w:rsidR="00533A87" w:rsidRPr="0009131F" w:rsidRDefault="00533A87" w:rsidP="00533A87">
      <w:pPr>
        <w:pStyle w:val="NoSpacing"/>
        <w:rPr>
          <w:rFonts w:ascii="Arial Narrow" w:hAnsi="Arial Narrow" w:cs="Arial"/>
          <w:sz w:val="24"/>
          <w:szCs w:val="24"/>
        </w:rPr>
      </w:pP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CE63100</w:t>
      </w:r>
      <w:r w:rsidRPr="0009131F">
        <w:rPr>
          <w:rFonts w:ascii="Arial Narrow" w:hAnsi="Arial Narrow" w:cs="Arial"/>
          <w:sz w:val="24"/>
          <w:szCs w:val="24"/>
        </w:rPr>
        <w:tab/>
      </w:r>
      <w:r w:rsidRPr="0009131F">
        <w:rPr>
          <w:rFonts w:ascii="Arial Narrow" w:hAnsi="Arial Narrow" w:cs="Arial"/>
          <w:sz w:val="24"/>
          <w:szCs w:val="24"/>
        </w:rPr>
        <w:tab/>
        <w:t xml:space="preserve">Advanced Concrete and Aggregate </w:t>
      </w: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CE59700</w:t>
      </w:r>
      <w:r w:rsidRPr="0009131F">
        <w:rPr>
          <w:rFonts w:ascii="Arial Narrow" w:hAnsi="Arial Narrow" w:cs="Arial"/>
          <w:sz w:val="24"/>
          <w:szCs w:val="24"/>
        </w:rPr>
        <w:tab/>
      </w:r>
      <w:r w:rsidRPr="0009131F">
        <w:rPr>
          <w:rFonts w:ascii="Arial Narrow" w:hAnsi="Arial Narrow" w:cs="Arial"/>
          <w:sz w:val="24"/>
          <w:szCs w:val="24"/>
        </w:rPr>
        <w:tab/>
        <w:t>Sustainable Binders</w:t>
      </w:r>
    </w:p>
    <w:p w:rsidR="00533A87" w:rsidRPr="0009131F" w:rsidRDefault="00533A87" w:rsidP="00533A87">
      <w:pPr>
        <w:pStyle w:val="NoSpacing"/>
        <w:rPr>
          <w:rFonts w:ascii="Arial Narrow" w:hAnsi="Arial Narrow" w:cs="Arial"/>
          <w:sz w:val="24"/>
          <w:szCs w:val="24"/>
        </w:rPr>
      </w:pPr>
      <w:r>
        <w:rPr>
          <w:rFonts w:ascii="Arial Narrow" w:hAnsi="Arial Narrow" w:cs="Arial"/>
          <w:sz w:val="24"/>
          <w:szCs w:val="24"/>
        </w:rPr>
        <w:t>CE59700</w:t>
      </w:r>
      <w:r w:rsidRPr="0009131F">
        <w:rPr>
          <w:rFonts w:ascii="Arial Narrow" w:hAnsi="Arial Narrow" w:cs="Arial"/>
          <w:sz w:val="24"/>
          <w:szCs w:val="24"/>
        </w:rPr>
        <w:tab/>
      </w:r>
      <w:r w:rsidRPr="0009131F">
        <w:rPr>
          <w:rFonts w:ascii="Arial Narrow" w:hAnsi="Arial Narrow" w:cs="Arial"/>
          <w:sz w:val="24"/>
          <w:szCs w:val="24"/>
        </w:rPr>
        <w:tab/>
        <w:t>Advanced Topics in Classical and Computational Solid Mechanics</w:t>
      </w: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CE59700</w:t>
      </w:r>
      <w:r w:rsidRPr="0009131F">
        <w:rPr>
          <w:rFonts w:ascii="Arial Narrow" w:hAnsi="Arial Narrow" w:cs="Arial"/>
          <w:sz w:val="24"/>
          <w:szCs w:val="24"/>
        </w:rPr>
        <w:tab/>
      </w:r>
      <w:r w:rsidRPr="0009131F">
        <w:rPr>
          <w:rFonts w:ascii="Arial Narrow" w:hAnsi="Arial Narrow" w:cs="Arial"/>
          <w:sz w:val="24"/>
          <w:szCs w:val="24"/>
        </w:rPr>
        <w:tab/>
        <w:t>Foundations of Steel Corrosion in Concrete</w:t>
      </w: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CE 59700</w:t>
      </w:r>
      <w:r w:rsidRPr="0009131F">
        <w:rPr>
          <w:rFonts w:ascii="Arial Narrow" w:hAnsi="Arial Narrow" w:cs="Arial"/>
          <w:sz w:val="24"/>
          <w:szCs w:val="24"/>
        </w:rPr>
        <w:tab/>
      </w:r>
      <w:r w:rsidRPr="0009131F">
        <w:rPr>
          <w:rFonts w:ascii="Arial Narrow" w:hAnsi="Arial Narrow" w:cs="Arial"/>
          <w:sz w:val="24"/>
          <w:szCs w:val="24"/>
        </w:rPr>
        <w:tab/>
        <w:t>Fracture Mechanics of Concrete Materials and Structures</w:t>
      </w: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CE 59700</w:t>
      </w:r>
      <w:r w:rsidRPr="0009131F">
        <w:rPr>
          <w:rFonts w:ascii="Arial Narrow" w:hAnsi="Arial Narrow" w:cs="Arial"/>
          <w:sz w:val="24"/>
          <w:szCs w:val="24"/>
        </w:rPr>
        <w:tab/>
      </w:r>
      <w:r w:rsidRPr="0009131F">
        <w:rPr>
          <w:rFonts w:ascii="Arial Narrow" w:hAnsi="Arial Narrow" w:cs="Arial"/>
          <w:sz w:val="24"/>
          <w:szCs w:val="24"/>
        </w:rPr>
        <w:tab/>
        <w:t>Condition Assessments, Repair, and Life-Cycle Analysis for Concrete</w:t>
      </w:r>
    </w:p>
    <w:p w:rsidR="00533A87" w:rsidRPr="0009131F" w:rsidRDefault="00533A87" w:rsidP="00533A87">
      <w:pPr>
        <w:pStyle w:val="NoSpacing"/>
        <w:rPr>
          <w:rFonts w:ascii="Arial Narrow" w:hAnsi="Arial Narrow" w:cs="Arial"/>
          <w:sz w:val="24"/>
          <w:szCs w:val="24"/>
        </w:rPr>
      </w:pP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In addition, possibilities exist to arrange for “on-demand” courses, i.e.:</w:t>
      </w:r>
    </w:p>
    <w:p w:rsidR="00533A87" w:rsidRPr="0009131F" w:rsidRDefault="00533A87" w:rsidP="00533A87">
      <w:pPr>
        <w:pStyle w:val="NoSpacing"/>
        <w:rPr>
          <w:rFonts w:ascii="Arial Narrow" w:hAnsi="Arial Narrow" w:cs="Arial"/>
          <w:sz w:val="24"/>
          <w:szCs w:val="24"/>
        </w:rPr>
      </w:pP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CE69700</w:t>
      </w:r>
      <w:r w:rsidRPr="0009131F">
        <w:rPr>
          <w:rFonts w:ascii="Arial Narrow" w:hAnsi="Arial Narrow" w:cs="Arial"/>
          <w:sz w:val="24"/>
          <w:szCs w:val="24"/>
        </w:rPr>
        <w:tab/>
      </w:r>
      <w:r w:rsidRPr="0009131F">
        <w:rPr>
          <w:rFonts w:ascii="Arial Narrow" w:hAnsi="Arial Narrow" w:cs="Arial"/>
          <w:sz w:val="24"/>
          <w:szCs w:val="24"/>
        </w:rPr>
        <w:tab/>
        <w:t>Cement chemistry</w:t>
      </w:r>
    </w:p>
    <w:p w:rsidR="00533A87" w:rsidRPr="0009131F" w:rsidRDefault="00533A87" w:rsidP="00533A87">
      <w:pPr>
        <w:pStyle w:val="NoSpacing"/>
        <w:rPr>
          <w:rFonts w:ascii="Arial Narrow" w:hAnsi="Arial Narrow" w:cs="Arial"/>
          <w:sz w:val="24"/>
          <w:szCs w:val="24"/>
        </w:rPr>
      </w:pPr>
      <w:r w:rsidRPr="0009131F">
        <w:rPr>
          <w:rFonts w:ascii="Arial Narrow" w:hAnsi="Arial Narrow" w:cs="Arial"/>
          <w:sz w:val="24"/>
          <w:szCs w:val="24"/>
        </w:rPr>
        <w:t>CE59700</w:t>
      </w:r>
      <w:r w:rsidRPr="0009131F">
        <w:rPr>
          <w:rFonts w:ascii="Arial Narrow" w:hAnsi="Arial Narrow" w:cs="Arial"/>
          <w:sz w:val="24"/>
          <w:szCs w:val="24"/>
        </w:rPr>
        <w:tab/>
      </w:r>
      <w:r w:rsidRPr="0009131F">
        <w:rPr>
          <w:rFonts w:ascii="Arial Narrow" w:hAnsi="Arial Narrow" w:cs="Arial"/>
          <w:sz w:val="24"/>
          <w:szCs w:val="24"/>
        </w:rPr>
        <w:tab/>
        <w:t>Properties of concrete at Early Ages</w:t>
      </w:r>
    </w:p>
    <w:p w:rsidR="00FF44AF" w:rsidRDefault="00533A87">
      <w:bookmarkStart w:id="8" w:name="_GoBack"/>
      <w:bookmarkEnd w:id="8"/>
    </w:p>
    <w:sectPr w:rsidR="00FF4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00485"/>
    <w:multiLevelType w:val="hybridMultilevel"/>
    <w:tmpl w:val="696CB01C"/>
    <w:lvl w:ilvl="0" w:tplc="70B2C35E">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87"/>
    <w:rsid w:val="00533A87"/>
    <w:rsid w:val="00642764"/>
    <w:rsid w:val="00912C6D"/>
    <w:rsid w:val="00B3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8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33A8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3A87"/>
    <w:rPr>
      <w:rFonts w:ascii="Arial" w:eastAsia="Times New Roman" w:hAnsi="Arial" w:cs="Arial"/>
      <w:b/>
      <w:bCs/>
      <w:sz w:val="26"/>
      <w:szCs w:val="26"/>
    </w:rPr>
  </w:style>
  <w:style w:type="paragraph" w:styleId="NoSpacing">
    <w:name w:val="No Spacing"/>
    <w:uiPriority w:val="1"/>
    <w:qFormat/>
    <w:rsid w:val="00533A87"/>
    <w:pPr>
      <w:spacing w:after="0" w:line="240" w:lineRule="auto"/>
    </w:pPr>
    <w:rPr>
      <w:rFonts w:ascii="Calibri" w:eastAsia="Calibri" w:hAnsi="Calibri" w:cs="Times New Roman"/>
    </w:rPr>
  </w:style>
  <w:style w:type="paragraph" w:customStyle="1" w:styleId="CM28">
    <w:name w:val="CM28"/>
    <w:basedOn w:val="Normal"/>
    <w:next w:val="Normal"/>
    <w:rsid w:val="00533A87"/>
    <w:pPr>
      <w:widowControl w:val="0"/>
      <w:autoSpaceDE w:val="0"/>
      <w:autoSpaceDN w:val="0"/>
      <w:adjustRightInd w:val="0"/>
      <w:spacing w:after="358"/>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A8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33A8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3A87"/>
    <w:rPr>
      <w:rFonts w:ascii="Arial" w:eastAsia="Times New Roman" w:hAnsi="Arial" w:cs="Arial"/>
      <w:b/>
      <w:bCs/>
      <w:sz w:val="26"/>
      <w:szCs w:val="26"/>
    </w:rPr>
  </w:style>
  <w:style w:type="paragraph" w:styleId="NoSpacing">
    <w:name w:val="No Spacing"/>
    <w:uiPriority w:val="1"/>
    <w:qFormat/>
    <w:rsid w:val="00533A87"/>
    <w:pPr>
      <w:spacing w:after="0" w:line="240" w:lineRule="auto"/>
    </w:pPr>
    <w:rPr>
      <w:rFonts w:ascii="Calibri" w:eastAsia="Calibri" w:hAnsi="Calibri" w:cs="Times New Roman"/>
    </w:rPr>
  </w:style>
  <w:style w:type="paragraph" w:customStyle="1" w:styleId="CM28">
    <w:name w:val="CM28"/>
    <w:basedOn w:val="Normal"/>
    <w:next w:val="Normal"/>
    <w:rsid w:val="00533A87"/>
    <w:pPr>
      <w:widowControl w:val="0"/>
      <w:autoSpaceDE w:val="0"/>
      <w:autoSpaceDN w:val="0"/>
      <w:adjustRightInd w:val="0"/>
      <w:spacing w:after="358"/>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2D7F644D.dotm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 Roland</dc:creator>
  <cp:lastModifiedBy>Hill, Roland</cp:lastModifiedBy>
  <cp:revision>1</cp:revision>
  <dcterms:created xsi:type="dcterms:W3CDTF">2013-10-21T19:11:00Z</dcterms:created>
  <dcterms:modified xsi:type="dcterms:W3CDTF">2013-10-21T19:11:00Z</dcterms:modified>
</cp:coreProperties>
</file>